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EC9" w:rsidRDefault="00A06EC9" w:rsidP="00DD6BBC">
      <w:pPr>
        <w:keepNext/>
        <w:spacing w:before="240" w:after="24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  <w:bookmarkStart w:id="0" w:name="_Toc478490556"/>
      <w:r w:rsidRPr="00D338EA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Annexe 1 : Synthèse des textes conventionnels</w:t>
      </w:r>
      <w:bookmarkEnd w:id="0"/>
    </w:p>
    <w:p w:rsidR="00B01904" w:rsidRDefault="00B01904" w:rsidP="008C7B8B">
      <w:pPr>
        <w:keepNext/>
        <w:spacing w:before="240" w:after="240" w:line="240" w:lineRule="auto"/>
        <w:ind w:left="720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</w:p>
    <w:p w:rsidR="00B01904" w:rsidRDefault="00B01904" w:rsidP="008C7B8B">
      <w:pPr>
        <w:keepNext/>
        <w:spacing w:before="240" w:after="240" w:line="240" w:lineRule="auto"/>
        <w:ind w:left="720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</w:p>
    <w:p w:rsidR="00B01904" w:rsidRPr="00C94A9D" w:rsidRDefault="00B01904" w:rsidP="008C7B8B">
      <w:pPr>
        <w:keepNext/>
        <w:spacing w:before="240" w:after="240" w:line="240" w:lineRule="auto"/>
        <w:ind w:left="720"/>
        <w:jc w:val="center"/>
        <w:outlineLvl w:val="0"/>
        <w:rPr>
          <w:rFonts w:ascii="Times New Roman" w:hAnsi="Times New Roman"/>
          <w:b/>
          <w:bCs/>
          <w:iCs/>
          <w:sz w:val="24"/>
          <w:szCs w:val="24"/>
          <w:lang w:eastAsia="fr-FR"/>
        </w:rPr>
      </w:pPr>
    </w:p>
    <w:p w:rsidR="00086418" w:rsidRPr="00AA184C" w:rsidRDefault="00A06EC9" w:rsidP="00695457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</w:pPr>
      <w:r w:rsidRPr="00A06E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Prestataires</w:t>
      </w:r>
      <w:r w:rsidR="00D32B6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 de la LPP</w:t>
      </w:r>
      <w:r w:rsidRPr="00A06E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 </w:t>
      </w:r>
      <w:r w:rsidRPr="00A06EC9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: Convention nationale du 15 juillet 2015 destinée à organiser les rapports entre les prestataires des titres I</w:t>
      </w:r>
      <w:r w:rsidR="004F62B2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, II chap. 4</w:t>
      </w:r>
      <w:r w:rsidRPr="00A06EC9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et IV de la LPP et l’Assurance Maladie, approuvée par arrêté interministériel du </w:t>
      </w:r>
      <w:r w:rsidR="008A45AD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30 mai 2016 (JO du 3 juin 2016) ;</w:t>
      </w:r>
    </w:p>
    <w:p w:rsidR="00AA184C" w:rsidRPr="008B7CEF" w:rsidRDefault="00AA184C" w:rsidP="00AA184C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Professionnels de l’appareillage</w:t>
      </w:r>
      <w:r w:rsidRPr="00AA184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 </w:t>
      </w:r>
      <w:r w:rsidRPr="00AA184C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: Convention nationale du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23 avril 2019</w:t>
      </w:r>
      <w:r w:rsidRPr="00AA184C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 destinée à organiser les rapports entre les professionnels de l’appareillage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prothétique et orthopédique</w:t>
      </w:r>
      <w:r w:rsidRPr="00AA184C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 et l’Assurance Maladie, approuvée par arrêté interministériel du 2 octobre 2020 (JO du 9 octobre 2020) ;</w:t>
      </w:r>
    </w:p>
    <w:p w:rsidR="008B7CEF" w:rsidRDefault="008B7CEF" w:rsidP="008B7CE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</w:pPr>
      <w:r w:rsidRPr="008B7C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Audioprothésistes </w:t>
      </w:r>
      <w:r w:rsidRPr="008B7CEF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: Convention nationale signée le 23</w:t>
      </w:r>
      <w:r w:rsidR="00341456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 mars </w:t>
      </w:r>
      <w:r w:rsidRPr="008B7CEF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2021 organisant les rapports entre l'Union Nationale des Caisses d'Assurance Maladie (UNCAM) et les représentants des audioprothésistes, approuvée par arrêté interministériel du 24 juin 2022 (JO du 2 juillet 2022)</w:t>
      </w:r>
      <w:r w:rsidR="00341456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,</w:t>
      </w:r>
      <w:r w:rsidRPr="008B7CEF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 </w:t>
      </w:r>
      <w:r w:rsidR="00341456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modifiée par son avenant n°1 signé le 4 novembre 2024 approuvé par arrêté interministériel du 2 décembre 2024 (JO du 4 décembre 2024) visant principalement à limiter les fraudes dans le secteur des aides auditives</w:t>
      </w:r>
      <w:r w:rsidR="00AC5639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 qui</w:t>
      </w:r>
      <w:bookmarkStart w:id="1" w:name="_GoBack"/>
      <w:bookmarkEnd w:id="1"/>
      <w:r w:rsidR="00341456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 est </w:t>
      </w:r>
      <w:r w:rsidR="00341456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entré en vigueur le 1</w:t>
      </w:r>
      <w:r w:rsidR="00341456" w:rsidRPr="00341456">
        <w:rPr>
          <w:rFonts w:ascii="Times New Roman" w:eastAsia="Times New Roman" w:hAnsi="Times New Roman"/>
          <w:bCs/>
          <w:color w:val="000000"/>
          <w:sz w:val="24"/>
          <w:szCs w:val="24"/>
          <w:vertAlign w:val="superscript"/>
          <w:lang w:eastAsia="fr-FR"/>
        </w:rPr>
        <w:t>er</w:t>
      </w:r>
      <w:r w:rsidR="00341456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 janvier 2025</w:t>
      </w:r>
      <w:r w:rsidR="00341456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 ;</w:t>
      </w:r>
    </w:p>
    <w:p w:rsidR="008B7CEF" w:rsidRPr="008B7CEF" w:rsidRDefault="008B7CEF" w:rsidP="008B7CE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</w:pPr>
      <w:r w:rsidRPr="008B7C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>Opticiens </w:t>
      </w:r>
      <w:r w:rsidRPr="008B7CEF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: Convention nationale signée le 31</w:t>
      </w:r>
      <w:r w:rsidR="00341456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 mars </w:t>
      </w:r>
      <w:r w:rsidRPr="008B7CEF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2021 organisant les rapports entre l'UNCAM et les représentants des opticiens, approuvée par arrêté interministériel du 24 juin 2022 (JO du 2 juillet 2022) ;</w:t>
      </w:r>
    </w:p>
    <w:p w:rsidR="00683CA4" w:rsidRPr="00683CA4" w:rsidRDefault="00683CA4" w:rsidP="001C721F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</w:pPr>
      <w:r w:rsidRPr="00683CA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fr-FR"/>
        </w:rPr>
        <w:t xml:space="preserve">Biologistes médicaux </w:t>
      </w:r>
      <w:r w:rsidRPr="003217DF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: </w:t>
      </w:r>
      <w:r w:rsidRPr="003217DF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Convention 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nationale des directeurs de laboratoires privés d’analyses méd</w:t>
      </w:r>
      <w:r w:rsidR="008833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icales du 16 janvier 2004, (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JO du 11 avril 2004) modifiée</w:t>
      </w:r>
      <w:r w:rsidR="001E6B17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notamment par son avenant </w:t>
      </w:r>
      <w:r w:rsidR="00AF77D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n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°6 organisant les rapports entre les biol</w:t>
      </w:r>
      <w:r w:rsidR="008833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ogistes médicaux libéraux et l'Assurance M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aladie</w:t>
      </w:r>
      <w:r w:rsidR="008C7B8B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,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approuvé par arrêté interminis</w:t>
      </w:r>
      <w:r w:rsidR="008833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tériel du 10 janvier 2017 (JO du</w:t>
      </w:r>
      <w:r w:rsidRPr="00683CA4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13 janvier 2017).</w:t>
      </w:r>
    </w:p>
    <w:sectPr w:rsidR="00683CA4" w:rsidRPr="00683CA4" w:rsidSect="00A06EC9">
      <w:pgSz w:w="11906" w:h="16838"/>
      <w:pgMar w:top="28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6FE2"/>
    <w:multiLevelType w:val="hybridMultilevel"/>
    <w:tmpl w:val="4A3E8026"/>
    <w:lvl w:ilvl="0" w:tplc="040C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" w15:restartNumberingAfterBreak="0">
    <w:nsid w:val="0D204968"/>
    <w:multiLevelType w:val="hybridMultilevel"/>
    <w:tmpl w:val="CC94BE0A"/>
    <w:lvl w:ilvl="0" w:tplc="040C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C9"/>
    <w:rsid w:val="00086418"/>
    <w:rsid w:val="000F4522"/>
    <w:rsid w:val="00136A3F"/>
    <w:rsid w:val="001C721F"/>
    <w:rsid w:val="001E6B17"/>
    <w:rsid w:val="002C1AC6"/>
    <w:rsid w:val="002D6BF2"/>
    <w:rsid w:val="003217DF"/>
    <w:rsid w:val="00341456"/>
    <w:rsid w:val="00401B97"/>
    <w:rsid w:val="004F62B2"/>
    <w:rsid w:val="00550219"/>
    <w:rsid w:val="005F0B30"/>
    <w:rsid w:val="00645CB0"/>
    <w:rsid w:val="00665924"/>
    <w:rsid w:val="00683CA4"/>
    <w:rsid w:val="00695457"/>
    <w:rsid w:val="006D7E55"/>
    <w:rsid w:val="00821367"/>
    <w:rsid w:val="00826FF4"/>
    <w:rsid w:val="008833A4"/>
    <w:rsid w:val="008A45AD"/>
    <w:rsid w:val="008B7CEF"/>
    <w:rsid w:val="008C7B8B"/>
    <w:rsid w:val="008E390B"/>
    <w:rsid w:val="009A4310"/>
    <w:rsid w:val="009C4C2D"/>
    <w:rsid w:val="00A06EC9"/>
    <w:rsid w:val="00A95600"/>
    <w:rsid w:val="00AA0B71"/>
    <w:rsid w:val="00AA184C"/>
    <w:rsid w:val="00AC1323"/>
    <w:rsid w:val="00AC494C"/>
    <w:rsid w:val="00AC5639"/>
    <w:rsid w:val="00AF77DA"/>
    <w:rsid w:val="00B01904"/>
    <w:rsid w:val="00BE1A71"/>
    <w:rsid w:val="00C111CC"/>
    <w:rsid w:val="00C16D22"/>
    <w:rsid w:val="00C94A9D"/>
    <w:rsid w:val="00D32B6B"/>
    <w:rsid w:val="00D338EA"/>
    <w:rsid w:val="00DD6BBC"/>
    <w:rsid w:val="00DF5249"/>
    <w:rsid w:val="00E41F59"/>
    <w:rsid w:val="00E623D5"/>
    <w:rsid w:val="00F466E5"/>
    <w:rsid w:val="00FD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D878"/>
  <w15:chartTrackingRefBased/>
  <w15:docId w15:val="{95CD66DF-2A56-44EC-A986-46437798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3CA4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46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466E5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C16D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16D22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16D22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16D2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16D2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0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44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ALVES-08103</dc:creator>
  <cp:keywords/>
  <cp:lastModifiedBy>FLECHE LAURENCE (CPAM PUY-DE-DOME)</cp:lastModifiedBy>
  <cp:revision>4</cp:revision>
  <cp:lastPrinted>2019-04-01T12:23:00Z</cp:lastPrinted>
  <dcterms:created xsi:type="dcterms:W3CDTF">2024-03-25T14:59:00Z</dcterms:created>
  <dcterms:modified xsi:type="dcterms:W3CDTF">2026-01-13T15:49:00Z</dcterms:modified>
</cp:coreProperties>
</file>